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DC2626"/>
          <w:sz w:val="56"/>
          <w:szCs w:val="56"/>
        </w:rPr>
        <w:t xml:space="preserve">Health &amp; Medical</w:t>
      </w:r>
    </w:p>
    <w:p>
      <w:pPr>
        <w:spacing w:after="400"/>
        <w:jc w:val="center"/>
      </w:pPr>
      <w:r>
        <w:rPr>
          <w:rFonts w:ascii="Arial" w:cs="Arial" w:eastAsia="Arial" w:hAnsi="Arial"/>
          <w:i/>
          <w:iCs/>
          <w:color w:val="475569"/>
          <w:sz w:val="28"/>
          <w:szCs w:val="28"/>
        </w:rPr>
        <w:t xml:space="preserve">AI in Healthcare and Patient Care</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transforming healthcare by improving diagnostics, personalizing treatment, and reducing administrative burden on medical staff. This kit helps healthcare professionals understand how AI can augment their expertise while emphasizing that AI supports — never replaces — medical judgment and the doctor-patient relationship.</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Assist in analyzing medical images (X-rays, MRIs, CT scans) for faster diagnosis</w:t>
      </w:r>
    </w:p>
    <w:p>
      <w:pPr>
        <w:pStyle w:val="ListParagraph"/>
        <w:numPr>
          <w:ilvl w:val="0"/>
          <w:numId w:val="2"/>
        </w:numPr>
        <w:spacing w:after="100"/>
      </w:pPr>
      <w:r>
        <w:rPr>
          <w:sz w:val="24"/>
          <w:szCs w:val="24"/>
        </w:rPr>
        <w:t xml:space="preserve">Help identify patterns in patient data for early disease detection</w:t>
      </w:r>
    </w:p>
    <w:p>
      <w:pPr>
        <w:pStyle w:val="ListParagraph"/>
        <w:numPr>
          <w:ilvl w:val="0"/>
          <w:numId w:val="2"/>
        </w:numPr>
        <w:spacing w:after="100"/>
      </w:pPr>
      <w:r>
        <w:rPr>
          <w:sz w:val="24"/>
          <w:szCs w:val="24"/>
        </w:rPr>
        <w:t xml:space="preserve">Automate administrative tasks like scheduling, documentation, and billing</w:t>
      </w:r>
    </w:p>
    <w:p>
      <w:pPr>
        <w:pStyle w:val="ListParagraph"/>
        <w:numPr>
          <w:ilvl w:val="0"/>
          <w:numId w:val="2"/>
        </w:numPr>
        <w:spacing w:after="100"/>
      </w:pPr>
      <w:r>
        <w:rPr>
          <w:sz w:val="24"/>
          <w:szCs w:val="24"/>
        </w:rPr>
        <w:t xml:space="preserve">Support drug discovery and personalized treatment recommendations</w:t>
      </w:r>
    </w:p>
    <w:p>
      <w:pPr>
        <w:pStyle w:val="ListParagraph"/>
        <w:numPr>
          <w:ilvl w:val="0"/>
          <w:numId w:val="2"/>
        </w:numPr>
        <w:spacing w:after="100"/>
      </w:pPr>
      <w:r>
        <w:rPr>
          <w:sz w:val="24"/>
          <w:szCs w:val="24"/>
        </w:rPr>
        <w:t xml:space="preserve">Enable remote patient monitoring and telehealth support</w:t>
      </w:r>
    </w:p>
    <w:p>
      <w:pPr>
        <w:pStyle w:val="ListParagraph"/>
        <w:numPr>
          <w:ilvl w:val="0"/>
          <w:numId w:val="2"/>
        </w:numPr>
        <w:spacing w:after="100"/>
      </w:pPr>
      <w:r>
        <w:rPr>
          <w:sz w:val="24"/>
          <w:szCs w:val="24"/>
        </w:rPr>
        <w:t xml:space="preserve">Assist with medical research by analyzing large datasets</w:t>
      </w:r>
    </w:p>
    <w:p>
      <w:pPr>
        <w:pStyle w:val="ListParagraph"/>
        <w:numPr>
          <w:ilvl w:val="0"/>
          <w:numId w:val="2"/>
        </w:numPr>
        <w:spacing w:after="100"/>
      </w:pPr>
      <w:r>
        <w:rPr>
          <w:sz w:val="24"/>
          <w:szCs w:val="24"/>
        </w:rPr>
        <w:t xml:space="preserve">Provide clinical decision support based on latest medical literature</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Diagnostic Support</w:t>
      </w:r>
    </w:p>
    <w:p>
      <w:pPr>
        <w:spacing w:after="150"/>
      </w:pPr>
      <w:r>
        <w:rPr>
          <w:sz w:val="24"/>
          <w:szCs w:val="24"/>
        </w:rPr>
        <w:t xml:space="preserve">AI flagging potential abnormalities in radiology images for doctor review</w:t>
      </w:r>
    </w:p>
    <w:p>
      <w:pPr>
        <w:pStyle w:val="Heading3"/>
      </w:pPr>
      <w:r>
        <w:t xml:space="preserve">Patient Triage</w:t>
      </w:r>
    </w:p>
    <w:p>
      <w:pPr>
        <w:spacing w:after="150"/>
      </w:pPr>
      <w:r>
        <w:rPr>
          <w:sz w:val="24"/>
          <w:szCs w:val="24"/>
        </w:rPr>
        <w:t xml:space="preserve">AI helping prioritize patients based on symptom severity</w:t>
      </w:r>
    </w:p>
    <w:p>
      <w:pPr>
        <w:pStyle w:val="Heading3"/>
      </w:pPr>
      <w:r>
        <w:t xml:space="preserve">Documentation</w:t>
      </w:r>
    </w:p>
    <w:p>
      <w:pPr>
        <w:spacing w:after="150"/>
      </w:pPr>
      <w:r>
        <w:rPr>
          <w:sz w:val="24"/>
          <w:szCs w:val="24"/>
        </w:rPr>
        <w:t xml:space="preserve">AI transcribing doctor-patient conversations into structured notes</w:t>
      </w:r>
    </w:p>
    <w:p>
      <w:pPr>
        <w:pStyle w:val="Heading3"/>
      </w:pPr>
      <w:r>
        <w:t xml:space="preserve">Drug Interactions</w:t>
      </w:r>
    </w:p>
    <w:p>
      <w:pPr>
        <w:spacing w:after="150"/>
      </w:pPr>
      <w:r>
        <w:rPr>
          <w:sz w:val="24"/>
          <w:szCs w:val="24"/>
        </w:rPr>
        <w:t xml:space="preserve">Checking prescriptions against patient history for potential conflicts</w:t>
      </w:r>
    </w:p>
    <w:p>
      <w:pPr>
        <w:pStyle w:val="Heading3"/>
      </w:pPr>
      <w:r>
        <w:t xml:space="preserve">Predictive Health</w:t>
      </w:r>
    </w:p>
    <w:p>
      <w:pPr>
        <w:spacing w:after="150"/>
      </w:pPr>
      <w:r>
        <w:rPr>
          <w:sz w:val="24"/>
          <w:szCs w:val="24"/>
        </w:rPr>
        <w:t xml:space="preserve">Identifying patients at risk for conditions based on health data patterns</w:t>
      </w:r>
    </w:p>
    <w:p>
      <w:pPr>
        <w:pStyle w:val="Heading3"/>
      </w:pPr>
      <w:r>
        <w:t xml:space="preserve">Mental Health Support</w:t>
      </w:r>
    </w:p>
    <w:p>
      <w:pPr>
        <w:spacing w:after="150"/>
      </w:pPr>
      <w:r>
        <w:rPr>
          <w:sz w:val="24"/>
          <w:szCs w:val="24"/>
        </w:rPr>
        <w:t xml:space="preserve">AI chatbots providing initial mental health screening and support</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Doctors and nurses remain essential — AI is a diagnostic aid, not a replacement</w:t>
      </w:r>
    </w:p>
    <w:p>
      <w:pPr>
        <w:pStyle w:val="ListParagraph"/>
        <w:numPr>
          <w:ilvl w:val="0"/>
          <w:numId w:val="2"/>
        </w:numPr>
        <w:spacing w:after="100"/>
      </w:pPr>
      <w:r>
        <w:rPr>
          <w:sz w:val="24"/>
          <w:szCs w:val="24"/>
        </w:rPr>
        <w:t xml:space="preserve">Human empathy, bedside manner, and patient relationships cannot be automated</w:t>
      </w:r>
    </w:p>
    <w:p>
      <w:pPr>
        <w:pStyle w:val="ListParagraph"/>
        <w:numPr>
          <w:ilvl w:val="0"/>
          <w:numId w:val="2"/>
        </w:numPr>
        <w:spacing w:after="100"/>
      </w:pPr>
      <w:r>
        <w:rPr>
          <w:sz w:val="24"/>
          <w:szCs w:val="24"/>
        </w:rPr>
        <w:t xml:space="preserve">AI recommendations always require human verification and judgment</w:t>
      </w:r>
    </w:p>
    <w:p>
      <w:pPr>
        <w:pStyle w:val="ListParagraph"/>
        <w:numPr>
          <w:ilvl w:val="0"/>
          <w:numId w:val="2"/>
        </w:numPr>
        <w:spacing w:after="100"/>
      </w:pPr>
      <w:r>
        <w:rPr>
          <w:sz w:val="24"/>
          <w:szCs w:val="24"/>
        </w:rPr>
        <w:t xml:space="preserve">Medical decisions involve ethics, context, and nuance that AI cannot fully grasp</w:t>
      </w:r>
    </w:p>
    <w:p>
      <w:pPr>
        <w:pStyle w:val="ListParagraph"/>
        <w:numPr>
          <w:ilvl w:val="0"/>
          <w:numId w:val="2"/>
        </w:numPr>
        <w:spacing w:after="100"/>
      </w:pPr>
      <w:r>
        <w:rPr>
          <w:sz w:val="24"/>
          <w:szCs w:val="24"/>
        </w:rPr>
        <w:t xml:space="preserve">Healthcare jobs will evolve with new roles in AI-assisted medicine</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interpret AI-generated insights and integrate them into practice</w:t>
      </w:r>
    </w:p>
    <w:p>
      <w:pPr>
        <w:pStyle w:val="ListParagraph"/>
        <w:numPr>
          <w:ilvl w:val="0"/>
          <w:numId w:val="3"/>
        </w:numPr>
        <w:spacing w:after="100"/>
      </w:pPr>
      <w:r>
        <w:rPr>
          <w:sz w:val="24"/>
          <w:szCs w:val="24"/>
        </w:rPr>
        <w:t xml:space="preserve">Focus on patient communication and relationship-building skills</w:t>
      </w:r>
    </w:p>
    <w:p>
      <w:pPr>
        <w:pStyle w:val="ListParagraph"/>
        <w:numPr>
          <w:ilvl w:val="0"/>
          <w:numId w:val="3"/>
        </w:numPr>
        <w:spacing w:after="100"/>
      </w:pPr>
      <w:r>
        <w:rPr>
          <w:sz w:val="24"/>
          <w:szCs w:val="24"/>
        </w:rPr>
        <w:t xml:space="preserve">Understand AI limitations and when to override AI recommendations</w:t>
      </w:r>
    </w:p>
    <w:p>
      <w:pPr>
        <w:pStyle w:val="ListParagraph"/>
        <w:numPr>
          <w:ilvl w:val="0"/>
          <w:numId w:val="3"/>
        </w:numPr>
        <w:spacing w:after="100"/>
      </w:pPr>
      <w:r>
        <w:rPr>
          <w:sz w:val="24"/>
          <w:szCs w:val="24"/>
        </w:rPr>
        <w:t xml:space="preserve">Stay updated on AI regulations and ethical guidelines in healthcare</w:t>
      </w:r>
    </w:p>
    <w:p>
      <w:pPr>
        <w:pStyle w:val="ListParagraph"/>
        <w:numPr>
          <w:ilvl w:val="0"/>
          <w:numId w:val="3"/>
        </w:numPr>
        <w:spacing w:after="100"/>
      </w:pPr>
      <w:r>
        <w:rPr>
          <w:sz w:val="24"/>
          <w:szCs w:val="24"/>
        </w:rPr>
        <w:t xml:space="preserve">Advocate for AI tools that reduce burnout and improve patient care</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Patient Documentation</w:t>
            </w:r>
          </w:p>
        </w:tc>
        <w:tc>
          <w:tcPr>
            <w:shd w:val="clear" w:fill="FEE2E2"/>
          </w:tcPr>
          <w:p>
            <w:r>
              <w:rPr>
                <w:sz w:val="22"/>
              </w:rPr>
              <w:t>30 mins per patient notes</w:t>
            </w:r>
          </w:p>
        </w:tc>
        <w:tc>
          <w:tcPr>
            <w:shd w:val="clear" w:fill="DCFCE7"/>
          </w:tcPr>
          <w:p>
            <w:r>
              <w:rPr>
                <w:sz w:val="22"/>
              </w:rPr>
              <w:t>AI transcribes in real-time</w:t>
            </w:r>
          </w:p>
        </w:tc>
      </w:tr>
      <w:tr>
        <w:tc>
          <w:p>
            <w:r>
              <w:rPr>
                <w:b/>
                <w:sz w:val="22"/>
              </w:rPr>
              <w:t>Appointment Scheduling</w:t>
            </w:r>
          </w:p>
        </w:tc>
        <w:tc>
          <w:tcPr>
            <w:shd w:val="clear" w:fill="FEE2E2"/>
          </w:tcPr>
          <w:p>
            <w:r>
              <w:rPr>
                <w:sz w:val="22"/>
              </w:rPr>
              <w:t>Phone tag with patients</w:t>
            </w:r>
          </w:p>
        </w:tc>
        <w:tc>
          <w:tcPr>
            <w:shd w:val="clear" w:fill="DCFCE7"/>
          </w:tcPr>
          <w:p>
            <w:r>
              <w:rPr>
                <w:sz w:val="22"/>
              </w:rPr>
              <w:t>AI handles booking 24/7</w:t>
            </w:r>
          </w:p>
        </w:tc>
      </w:tr>
      <w:tr>
        <w:tc>
          <w:p>
            <w:r>
              <w:rPr>
                <w:b/>
                <w:sz w:val="22"/>
              </w:rPr>
              <w:t>Lab Result Analysis</w:t>
            </w:r>
          </w:p>
        </w:tc>
        <w:tc>
          <w:tcPr>
            <w:shd w:val="clear" w:fill="FEE2E2"/>
          </w:tcPr>
          <w:p>
            <w:r>
              <w:rPr>
                <w:sz w:val="22"/>
              </w:rPr>
              <w:t>Manual review of reports</w:t>
            </w:r>
          </w:p>
        </w:tc>
        <w:tc>
          <w:tcPr>
            <w:shd w:val="clear" w:fill="DCFCE7"/>
          </w:tcPr>
          <w:p>
            <w:r>
              <w:rPr>
                <w:sz w:val="22"/>
              </w:rPr>
              <w:t>AI flags abnormalities instantly</w:t>
            </w:r>
          </w:p>
        </w:tc>
      </w:tr>
      <w:tr>
        <w:tc>
          <w:p>
            <w:r>
              <w:rPr>
                <w:b/>
                <w:sz w:val="22"/>
              </w:rPr>
              <w:t>Prescription Checking</w:t>
            </w:r>
          </w:p>
        </w:tc>
        <w:tc>
          <w:tcPr>
            <w:shd w:val="clear" w:fill="FEE2E2"/>
          </w:tcPr>
          <w:p>
            <w:r>
              <w:rPr>
                <w:sz w:val="22"/>
              </w:rPr>
              <w:t>Memory-based drug checks</w:t>
            </w:r>
          </w:p>
        </w:tc>
        <w:tc>
          <w:tcPr>
            <w:shd w:val="clear" w:fill="DCFCE7"/>
          </w:tcPr>
          <w:p>
            <w:r>
              <w:rPr>
                <w:sz w:val="22"/>
              </w:rPr>
              <w:t>AI verifies all interactions</w:t>
            </w:r>
          </w:p>
        </w:tc>
      </w:tr>
      <w:tr>
        <w:tc>
          <w:p>
            <w:r>
              <w:rPr>
                <w:b/>
                <w:sz w:val="22"/>
              </w:rPr>
              <w:t>Patient Follow-up</w:t>
            </w:r>
          </w:p>
        </w:tc>
        <w:tc>
          <w:tcPr>
            <w:shd w:val="clear" w:fill="FEE2E2"/>
          </w:tcPr>
          <w:p>
            <w:r>
              <w:rPr>
                <w:sz w:val="22"/>
              </w:rPr>
              <w:t>Manual tracking, often missed</w:t>
            </w:r>
          </w:p>
        </w:tc>
        <w:tc>
          <w:tcPr>
            <w:shd w:val="clear" w:fill="DCFCE7"/>
          </w:tcPr>
          <w:p>
            <w:r>
              <w:rPr>
                <w:sz w:val="22"/>
              </w:rPr>
              <w:t>AI reminds and monitors automatically</w:t>
            </w:r>
          </w:p>
        </w:tc>
      </w:tr>
      <w:tr>
        <w:tc>
          <w:p>
            <w:r>
              <w:rPr>
                <w:b/>
                <w:sz w:val="22"/>
              </w:rPr>
              <w:t>Medical Research</w:t>
            </w:r>
          </w:p>
        </w:tc>
        <w:tc>
          <w:tcPr>
            <w:shd w:val="clear" w:fill="FEE2E2"/>
          </w:tcPr>
          <w:p>
            <w:r>
              <w:rPr>
                <w:sz w:val="22"/>
              </w:rPr>
              <w:t>Weeks reading papers</w:t>
            </w:r>
          </w:p>
        </w:tc>
        <w:tc>
          <w:tcPr>
            <w:shd w:val="clear" w:fill="DCFCE7"/>
          </w:tcPr>
          <w:p>
            <w:r>
              <w:rPr>
                <w:sz w:val="22"/>
              </w:rPr>
              <w:t>AI summarizes relevant literature</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Always maintain human oversight of AI-generated medical recommendations</w:t>
      </w:r>
    </w:p>
    <w:p>
      <w:pPr>
        <w:pStyle w:val="ListParagraph"/>
        <w:numPr>
          <w:ilvl w:val="0"/>
          <w:numId w:val="2"/>
        </w:numPr>
        <w:spacing w:after="100"/>
      </w:pPr>
      <w:r>
        <w:rPr>
          <w:sz w:val="24"/>
          <w:szCs w:val="24"/>
        </w:rPr>
        <w:t xml:space="preserve">Protect patient data privacy and ensure HIPAA/regulatory compliance</w:t>
      </w:r>
    </w:p>
    <w:p>
      <w:pPr>
        <w:pStyle w:val="ListParagraph"/>
        <w:numPr>
          <w:ilvl w:val="0"/>
          <w:numId w:val="2"/>
        </w:numPr>
        <w:spacing w:after="100"/>
      </w:pPr>
      <w:r>
        <w:rPr>
          <w:sz w:val="24"/>
          <w:szCs w:val="24"/>
        </w:rPr>
        <w:t xml:space="preserve">Be transparent with patients about AI involvement in their care</w:t>
      </w:r>
    </w:p>
    <w:p>
      <w:pPr>
        <w:pStyle w:val="ListParagraph"/>
        <w:numPr>
          <w:ilvl w:val="0"/>
          <w:numId w:val="2"/>
        </w:numPr>
        <w:spacing w:after="100"/>
      </w:pPr>
      <w:r>
        <w:rPr>
          <w:sz w:val="24"/>
          <w:szCs w:val="24"/>
        </w:rPr>
        <w:t xml:space="preserve">Address AI bias that may affect diagnosis accuracy across populations</w:t>
      </w:r>
    </w:p>
    <w:p>
      <w:pPr>
        <w:pStyle w:val="ListParagraph"/>
        <w:numPr>
          <w:ilvl w:val="0"/>
          <w:numId w:val="2"/>
        </w:numPr>
        <w:spacing w:after="100"/>
      </w:pPr>
      <w:r>
        <w:rPr>
          <w:sz w:val="24"/>
          <w:szCs w:val="24"/>
        </w:rPr>
        <w:t xml:space="preserve">Ensure equitable access to AI-enhanced healthcare</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DC2626"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DC2626"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DC2626"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Nuance DAX</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clinical documentation</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 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Otter.ai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Medical transcription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UpToDate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AI-enhanced clinical decision support</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Viz.ai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Medical imaging analysis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Enterprise 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Research assistance and documentation help</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Glass Health</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clinical decision support</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for clinicians</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DC2626"/>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Health &amp; Medical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DC2626"/>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2026-01-29T14:10:13.692Z</dcterms:created>
  <dcterms:modified xsi:type="dcterms:W3CDTF">2026-01-29T14:10:13.692Z</dcterms:modified>
</cp:coreProperties>
</file>

<file path=docProps/custom.xml><?xml version="1.0" encoding="utf-8"?>
<Properties xmlns="http://schemas.openxmlformats.org/officeDocument/2006/custom-properties" xmlns:vt="http://schemas.openxmlformats.org/officeDocument/2006/docPropsVTypes"/>
</file>